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341" w:rsidRPr="00FB3341" w:rsidRDefault="00FB3341" w:rsidP="00FB3341">
      <w:pPr>
        <w:spacing w:after="0" w:line="858" w:lineRule="atLeast"/>
        <w:outlineLvl w:val="0"/>
        <w:rPr>
          <w:rFonts w:ascii="Arial" w:eastAsia="Times New Roman" w:hAnsi="Arial" w:cs="Arial"/>
          <w:b/>
          <w:bCs/>
          <w:color w:val="222222"/>
          <w:spacing w:val="-2"/>
          <w:kern w:val="36"/>
          <w:sz w:val="66"/>
          <w:szCs w:val="66"/>
          <w:lang w:eastAsia="ru-RU"/>
        </w:rPr>
      </w:pPr>
      <w:r w:rsidRPr="00FB3341">
        <w:rPr>
          <w:rFonts w:ascii="Arial" w:eastAsia="Times New Roman" w:hAnsi="Arial" w:cs="Arial"/>
          <w:b/>
          <w:bCs/>
          <w:color w:val="222222"/>
          <w:spacing w:val="-2"/>
          <w:kern w:val="36"/>
          <w:sz w:val="66"/>
          <w:szCs w:val="66"/>
          <w:lang w:eastAsia="ru-RU"/>
        </w:rPr>
        <w:t>Профили обучения среднего общего образования</w:t>
      </w:r>
    </w:p>
    <w:p w:rsidR="00FB3341" w:rsidRPr="00FB3341" w:rsidRDefault="00FB3341" w:rsidP="00FB3341">
      <w:pPr>
        <w:spacing w:line="480" w:lineRule="atLeast"/>
        <w:rPr>
          <w:rFonts w:ascii="Arial" w:eastAsia="Times New Roman" w:hAnsi="Arial" w:cs="Arial"/>
          <w:color w:val="50576D"/>
          <w:sz w:val="30"/>
          <w:szCs w:val="30"/>
          <w:lang w:eastAsia="ru-RU"/>
        </w:rPr>
      </w:pPr>
      <w:r w:rsidRPr="00FB3341">
        <w:rPr>
          <w:rFonts w:ascii="Arial" w:eastAsia="Times New Roman" w:hAnsi="Arial" w:cs="Arial"/>
          <w:color w:val="50576D"/>
          <w:sz w:val="30"/>
          <w:szCs w:val="30"/>
          <w:lang w:eastAsia="ru-RU"/>
        </w:rPr>
        <w:t>Содержание профилей обучения сформировано по </w:t>
      </w:r>
      <w:hyperlink r:id="rId4" w:anchor="/document/97/502840/" w:tgtFrame="_self" w:tooltip="" w:history="1">
        <w:r w:rsidRPr="00FB3341">
          <w:rPr>
            <w:rFonts w:ascii="Arial" w:eastAsia="Times New Roman" w:hAnsi="Arial" w:cs="Arial"/>
            <w:color w:val="01745C"/>
            <w:sz w:val="30"/>
            <w:szCs w:val="30"/>
            <w:lang w:eastAsia="ru-RU"/>
          </w:rPr>
          <w:t>ФОП СОО</w:t>
        </w:r>
      </w:hyperlink>
      <w:r w:rsidRPr="00FB3341">
        <w:rPr>
          <w:rFonts w:ascii="Arial" w:eastAsia="Times New Roman" w:hAnsi="Arial" w:cs="Arial"/>
          <w:color w:val="50576D"/>
          <w:sz w:val="30"/>
          <w:szCs w:val="30"/>
          <w:lang w:eastAsia="ru-RU"/>
        </w:rPr>
        <w:t xml:space="preserve">. В справочнике также учтены изменения, которые </w:t>
      </w:r>
      <w:proofErr w:type="spellStart"/>
      <w:r w:rsidRPr="00FB3341">
        <w:rPr>
          <w:rFonts w:ascii="Arial" w:eastAsia="Times New Roman" w:hAnsi="Arial" w:cs="Arial"/>
          <w:color w:val="50576D"/>
          <w:sz w:val="30"/>
          <w:szCs w:val="30"/>
          <w:lang w:eastAsia="ru-RU"/>
        </w:rPr>
        <w:t>Минпросвещения</w:t>
      </w:r>
      <w:proofErr w:type="spellEnd"/>
      <w:r w:rsidRPr="00FB3341">
        <w:rPr>
          <w:rFonts w:ascii="Arial" w:eastAsia="Times New Roman" w:hAnsi="Arial" w:cs="Arial"/>
          <w:color w:val="50576D"/>
          <w:sz w:val="30"/>
          <w:szCs w:val="30"/>
          <w:lang w:eastAsia="ru-RU"/>
        </w:rPr>
        <w:t xml:space="preserve"> внесло во ФГОС СОО </w:t>
      </w:r>
      <w:hyperlink r:id="rId5" w:anchor="/document/99/351729442/" w:tgtFrame="_self" w:tooltip="" w:history="1">
        <w:r w:rsidRPr="00FB3341">
          <w:rPr>
            <w:rFonts w:ascii="Arial" w:eastAsia="Times New Roman" w:hAnsi="Arial" w:cs="Arial"/>
            <w:color w:val="01745C"/>
            <w:sz w:val="30"/>
            <w:szCs w:val="30"/>
            <w:lang w:eastAsia="ru-RU"/>
          </w:rPr>
          <w:t>приказом от 12.08.2022 № 732</w:t>
        </w:r>
      </w:hyperlink>
      <w:r w:rsidRPr="00FB3341">
        <w:rPr>
          <w:rFonts w:ascii="Arial" w:eastAsia="Times New Roman" w:hAnsi="Arial" w:cs="Arial"/>
          <w:color w:val="50576D"/>
          <w:sz w:val="30"/>
          <w:szCs w:val="30"/>
          <w:lang w:eastAsia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7"/>
        <w:gridCol w:w="1740"/>
        <w:gridCol w:w="2698"/>
        <w:gridCol w:w="2394"/>
      </w:tblGrid>
      <w:tr w:rsidR="00FB3341" w:rsidRPr="00FB3341" w:rsidTr="00FB3341">
        <w:tc>
          <w:tcPr>
            <w:tcW w:w="7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341" w:rsidRPr="00FB3341" w:rsidRDefault="00FB3341" w:rsidP="00FB3341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3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Профиль</w:t>
            </w:r>
          </w:p>
        </w:tc>
        <w:tc>
          <w:tcPr>
            <w:tcW w:w="429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341" w:rsidRPr="00FB3341" w:rsidRDefault="00FB3341" w:rsidP="00FB3341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3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Предметные области</w:t>
            </w:r>
          </w:p>
        </w:tc>
        <w:tc>
          <w:tcPr>
            <w:tcW w:w="536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341" w:rsidRPr="00FB3341" w:rsidRDefault="00FB3341" w:rsidP="00FB3341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3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Предметы для углубленного изучения</w:t>
            </w:r>
          </w:p>
        </w:tc>
        <w:tc>
          <w:tcPr>
            <w:tcW w:w="568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341" w:rsidRPr="00FB3341" w:rsidRDefault="00FB3341" w:rsidP="00FB3341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3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Курсы по выбору</w:t>
            </w:r>
          </w:p>
        </w:tc>
      </w:tr>
      <w:tr w:rsidR="00FB3341" w:rsidRPr="00FB3341" w:rsidTr="00FB3341">
        <w:tc>
          <w:tcPr>
            <w:tcW w:w="700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341" w:rsidRPr="00FB3341" w:rsidRDefault="00FB3341" w:rsidP="00FB334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3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Технологический</w:t>
            </w:r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– ориентирует на производственную, инженерную и информационную сферы деятельности</w:t>
            </w:r>
          </w:p>
        </w:tc>
        <w:tc>
          <w:tcPr>
            <w:tcW w:w="42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341" w:rsidRPr="00FB3341" w:rsidRDefault="00FB3341" w:rsidP="00FB334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«Математика и информатика», «Естественно-научные предметы»</w:t>
            </w:r>
          </w:p>
        </w:tc>
        <w:tc>
          <w:tcPr>
            <w:tcW w:w="5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341" w:rsidRPr="00FB3341" w:rsidRDefault="00FB3341" w:rsidP="00FB334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геометрия, вероятность и статистика; информатика; физика</w:t>
            </w:r>
          </w:p>
        </w:tc>
        <w:tc>
          <w:tcPr>
            <w:tcW w:w="56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341" w:rsidRPr="00FB3341" w:rsidRDefault="00FB3341" w:rsidP="00FB334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Инженерная </w:t>
            </w:r>
            <w:proofErr w:type="gramStart"/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графика;</w:t>
            </w:r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робототехника</w:t>
            </w:r>
            <w:proofErr w:type="gramEnd"/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технологии современного производства; программирование; моделирование и </w:t>
            </w:r>
            <w:proofErr w:type="spellStart"/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прототипирование</w:t>
            </w:r>
            <w:proofErr w:type="spellEnd"/>
          </w:p>
        </w:tc>
      </w:tr>
      <w:tr w:rsidR="00FB3341" w:rsidRPr="00FB3341" w:rsidTr="00FB3341">
        <w:tc>
          <w:tcPr>
            <w:tcW w:w="700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341" w:rsidRPr="00FB3341" w:rsidRDefault="00FB3341" w:rsidP="00FB334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3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Естественно-научный</w:t>
            </w:r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– ориентирует на медицину, биотехнологию и т. п. области</w:t>
            </w:r>
          </w:p>
        </w:tc>
        <w:tc>
          <w:tcPr>
            <w:tcW w:w="42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341" w:rsidRPr="00FB3341" w:rsidRDefault="00FB3341" w:rsidP="00FB334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«Естественно-научные предметы»</w:t>
            </w:r>
          </w:p>
        </w:tc>
        <w:tc>
          <w:tcPr>
            <w:tcW w:w="5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341" w:rsidRPr="00FB3341" w:rsidRDefault="00FB3341" w:rsidP="00FB334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gramStart"/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Химия,</w:t>
            </w:r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биология</w:t>
            </w:r>
            <w:proofErr w:type="gramEnd"/>
          </w:p>
        </w:tc>
        <w:tc>
          <w:tcPr>
            <w:tcW w:w="56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341" w:rsidRPr="00FB3341" w:rsidRDefault="00FB3341" w:rsidP="00FB334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биохимии; основы микробиологии; физическая химия; медицинская генетика; основы научных исследований</w:t>
            </w:r>
          </w:p>
        </w:tc>
      </w:tr>
      <w:tr w:rsidR="00FB3341" w:rsidRPr="00FB3341" w:rsidTr="00FB3341">
        <w:tc>
          <w:tcPr>
            <w:tcW w:w="700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341" w:rsidRPr="00FB3341" w:rsidRDefault="00FB3341" w:rsidP="00FB334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3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Гуманитарный</w:t>
            </w:r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– ориентирует на такие сферы деятельности, как педагогика, психология, общественные отношения и т. д.</w:t>
            </w:r>
          </w:p>
        </w:tc>
        <w:tc>
          <w:tcPr>
            <w:tcW w:w="42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341" w:rsidRPr="00FB3341" w:rsidRDefault="00FB3341" w:rsidP="00FB334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«Русский язык и литература», «Общественно-научные предметы» и «Иностранные языки»</w:t>
            </w:r>
          </w:p>
        </w:tc>
        <w:tc>
          <w:tcPr>
            <w:tcW w:w="5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341" w:rsidRPr="00FB3341" w:rsidRDefault="00FB3341" w:rsidP="00FB334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Литература, иностранный </w:t>
            </w:r>
            <w:proofErr w:type="gramStart"/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язык,</w:t>
            </w:r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история</w:t>
            </w:r>
            <w:proofErr w:type="gramEnd"/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обществознание</w:t>
            </w:r>
          </w:p>
        </w:tc>
        <w:tc>
          <w:tcPr>
            <w:tcW w:w="56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341" w:rsidRPr="00FB3341" w:rsidRDefault="00FB3341" w:rsidP="00FB334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Риторика; комплексный анализ текста; психология человека; социальное проектирование; основы правовой культуры, культура иноязычной речи; основы научных исследований</w:t>
            </w:r>
          </w:p>
        </w:tc>
      </w:tr>
      <w:tr w:rsidR="00FB3341" w:rsidRPr="00FB3341" w:rsidTr="00FB3341">
        <w:tc>
          <w:tcPr>
            <w:tcW w:w="700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341" w:rsidRPr="00FB3341" w:rsidRDefault="00FB3341" w:rsidP="00FB334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3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Социально-экономический</w:t>
            </w:r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– ориентирует на профессии, которые связаны с социальной сферой, финансами и экономикой, обработкой информации, на сферы деятельности: </w:t>
            </w:r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управление, предпринимательство, работа с финансами и т. д.</w:t>
            </w:r>
          </w:p>
        </w:tc>
        <w:tc>
          <w:tcPr>
            <w:tcW w:w="42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341" w:rsidRPr="00FB3341" w:rsidRDefault="00FB3341" w:rsidP="00FB334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«Математика и информатика», «Общественно-научные предметы»</w:t>
            </w:r>
          </w:p>
        </w:tc>
        <w:tc>
          <w:tcPr>
            <w:tcW w:w="5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341" w:rsidRPr="00FB3341" w:rsidRDefault="00FB3341" w:rsidP="00FB334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Математика: алгебра и начала математического анализа, геометрия, вероятность и статистика; </w:t>
            </w:r>
            <w:proofErr w:type="gramStart"/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обществознание;</w:t>
            </w:r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география</w:t>
            </w:r>
            <w:proofErr w:type="gramEnd"/>
          </w:p>
        </w:tc>
        <w:tc>
          <w:tcPr>
            <w:tcW w:w="56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341" w:rsidRPr="00FB3341" w:rsidRDefault="00FB3341" w:rsidP="00FB334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Основы экономики, глобальное хозяйство; статистическая обработка данных; основы управления социальными и экономическими </w:t>
            </w:r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системами; основы предпринимательства</w:t>
            </w:r>
          </w:p>
        </w:tc>
      </w:tr>
      <w:tr w:rsidR="00FB3341" w:rsidRPr="00FB3341" w:rsidTr="00FB3341">
        <w:tc>
          <w:tcPr>
            <w:tcW w:w="7000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341" w:rsidRPr="00FB3341" w:rsidRDefault="00FB3341" w:rsidP="00FB334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3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Универсальный профиль</w:t>
            </w:r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– для обучающихся, которые не определились с выбором или имеют запросы, выходящие за рамки обычных профилей</w:t>
            </w:r>
          </w:p>
        </w:tc>
        <w:tc>
          <w:tcPr>
            <w:tcW w:w="42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341" w:rsidRPr="00FB3341" w:rsidRDefault="00FB3341" w:rsidP="00FB334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«Математика и информатика», «Общественно-научные предметы»</w:t>
            </w:r>
          </w:p>
        </w:tc>
        <w:tc>
          <w:tcPr>
            <w:tcW w:w="5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341" w:rsidRPr="00FB3341" w:rsidRDefault="00FB3341" w:rsidP="00FB334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Математика: алгебра и начала математического анализа, геометрия, вероятность и </w:t>
            </w:r>
            <w:proofErr w:type="gramStart"/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статистика;</w:t>
            </w:r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история</w:t>
            </w:r>
            <w:proofErr w:type="gramEnd"/>
          </w:p>
        </w:tc>
        <w:tc>
          <w:tcPr>
            <w:tcW w:w="56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341" w:rsidRPr="00FB3341" w:rsidRDefault="00FB3341" w:rsidP="00FB334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научных исследований; человек в современном обществе; статистическая обработка данных</w:t>
            </w:r>
          </w:p>
        </w:tc>
      </w:tr>
      <w:tr w:rsidR="00FB3341" w:rsidRPr="00FB3341" w:rsidTr="00FB3341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B3341" w:rsidRPr="00FB3341" w:rsidRDefault="00FB3341" w:rsidP="00FB334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341" w:rsidRPr="00FB3341" w:rsidRDefault="00FB3341" w:rsidP="00FB334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«Русский язык и литература», «Иностранные языки»</w:t>
            </w:r>
          </w:p>
        </w:tc>
        <w:tc>
          <w:tcPr>
            <w:tcW w:w="5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341" w:rsidRPr="00FB3341" w:rsidRDefault="00FB3341" w:rsidP="00FB334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Литература, иностранный язык</w:t>
            </w:r>
          </w:p>
        </w:tc>
        <w:tc>
          <w:tcPr>
            <w:tcW w:w="56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341" w:rsidRPr="00FB3341" w:rsidRDefault="00FB3341" w:rsidP="00FB334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научных исследований; культура иноязычной речи; основы стилистики; комплексный анализ текста</w:t>
            </w:r>
          </w:p>
        </w:tc>
      </w:tr>
      <w:tr w:rsidR="00FB3341" w:rsidRPr="00FB3341" w:rsidTr="00FB3341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B3341" w:rsidRPr="00FB3341" w:rsidRDefault="00FB3341" w:rsidP="00FB334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341" w:rsidRPr="00FB3341" w:rsidRDefault="00FB3341" w:rsidP="00FB334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«Русский язык и литература», «Математика и информатика», «Естественно-научные предметы»</w:t>
            </w:r>
          </w:p>
        </w:tc>
        <w:tc>
          <w:tcPr>
            <w:tcW w:w="5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341" w:rsidRPr="00FB3341" w:rsidRDefault="00FB3341" w:rsidP="00FB334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Литература;</w:t>
            </w:r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математика</w:t>
            </w:r>
            <w:proofErr w:type="gramEnd"/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алгебра и начала математического анализа, геометрия, вероятность и статистика;</w:t>
            </w:r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биология</w:t>
            </w:r>
          </w:p>
        </w:tc>
        <w:tc>
          <w:tcPr>
            <w:tcW w:w="56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341" w:rsidRPr="00FB3341" w:rsidRDefault="00FB3341" w:rsidP="00FB334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научных исследований; статистическая обработка данных; исследовательский практикум по биологии</w:t>
            </w:r>
          </w:p>
        </w:tc>
      </w:tr>
      <w:tr w:rsidR="00FB3341" w:rsidRPr="00FB3341" w:rsidTr="00FB3341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B3341" w:rsidRPr="00FB3341" w:rsidRDefault="00FB3341" w:rsidP="00FB334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341" w:rsidRPr="00FB3341" w:rsidRDefault="00FB3341" w:rsidP="00FB334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«Русский язык и литература», «Математика и информатика»</w:t>
            </w:r>
          </w:p>
        </w:tc>
        <w:tc>
          <w:tcPr>
            <w:tcW w:w="5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341" w:rsidRPr="00FB3341" w:rsidRDefault="00FB3341" w:rsidP="00FB334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Литература; математика: алгебра и начала математического анализа, геометрия, вероятность и статистика</w:t>
            </w:r>
          </w:p>
        </w:tc>
        <w:tc>
          <w:tcPr>
            <w:tcW w:w="56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341" w:rsidRPr="00FB3341" w:rsidRDefault="00FB3341" w:rsidP="00FB334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3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научных исследований; статистическая обработка данных; комплексный анализ текста</w:t>
            </w:r>
          </w:p>
        </w:tc>
      </w:tr>
    </w:tbl>
    <w:p w:rsidR="00FB3341" w:rsidRPr="00FB3341" w:rsidRDefault="00FB3341" w:rsidP="00FB3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34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FB3341" w:rsidRPr="00FB3341" w:rsidRDefault="00FB3341" w:rsidP="00FB334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B334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 xml:space="preserve">«Профили обучения среднего общего </w:t>
      </w:r>
      <w:proofErr w:type="gramStart"/>
      <w:r w:rsidRPr="00FB334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образования»</w:t>
      </w:r>
      <w:r w:rsidRPr="00FB334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</w:t>
      </w:r>
      <w:proofErr w:type="gramEnd"/>
      <w:r w:rsidRPr="00FB334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Материал из Справочной системы «Завуч».</w:t>
      </w:r>
      <w:r w:rsidRPr="00FB334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6" w:anchor="/document/16/100622/dfas1wsyre/?of=copy-82a34babf7" w:history="1">
        <w:r w:rsidRPr="00FB3341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https://1zavuch.ru/#/document/16/100622/dfas1wsyre/?of=copy-82a34babf7</w:t>
        </w:r>
      </w:hyperlink>
    </w:p>
    <w:p w:rsidR="00E72D0B" w:rsidRDefault="00E72D0B">
      <w:bookmarkStart w:id="0" w:name="_GoBack"/>
      <w:bookmarkEnd w:id="0"/>
    </w:p>
    <w:sectPr w:rsidR="00E72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341"/>
    <w:rsid w:val="00E72D0B"/>
    <w:rsid w:val="00FB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7E8A0-8B50-438E-8A14-2E81635B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546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65316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38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2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zavuch.ru/" TargetMode="External"/><Relationship Id="rId5" Type="http://schemas.openxmlformats.org/officeDocument/2006/relationships/hyperlink" Target="https://1zavuch.ru/" TargetMode="External"/><Relationship Id="rId4" Type="http://schemas.openxmlformats.org/officeDocument/2006/relationships/hyperlink" Target="https://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2023-05-25T02:36:00Z</dcterms:created>
  <dcterms:modified xsi:type="dcterms:W3CDTF">2023-05-25T02:37:00Z</dcterms:modified>
</cp:coreProperties>
</file>